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DE" w:rsidRDefault="001D17DE" w:rsidP="00952F8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Методика оценки индустриальных парков и ОЭЗ промышленного типа</w:t>
      </w:r>
    </w:p>
    <w:p w:rsidR="001D17DE" w:rsidRDefault="001D17DE" w:rsidP="00013D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в рейтинге принимают действующие индустриальные парки и ОЭЗ промышленного типа: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соответствующие Национальному стандарту (по оценке Ассоциацией индустриальных парков России);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 участком не менее </w:t>
      </w:r>
      <w:smartTag w:uri="urn:schemas-microsoft-com:office:smarttags" w:element="metricconverter">
        <w:smartTagPr>
          <w:attr w:name="ProductID" w:val="40 га"/>
        </w:smartTagPr>
        <w:r>
          <w:rPr>
            <w:rFonts w:ascii="Times New Roman" w:hAnsi="Times New Roman"/>
            <w:sz w:val="28"/>
            <w:szCs w:val="28"/>
          </w:rPr>
          <w:t>40 га</w:t>
        </w:r>
      </w:smartTag>
      <w:r>
        <w:rPr>
          <w:rFonts w:ascii="Times New Roman" w:hAnsi="Times New Roman"/>
          <w:sz w:val="28"/>
          <w:szCs w:val="28"/>
        </w:rPr>
        <w:t xml:space="preserve"> (для </w:t>
      </w:r>
      <w:r>
        <w:rPr>
          <w:rFonts w:ascii="Times New Roman" w:hAnsi="Times New Roman"/>
          <w:sz w:val="28"/>
          <w:szCs w:val="28"/>
          <w:lang w:val="en-US"/>
        </w:rPr>
        <w:t>greenfield</w:t>
      </w:r>
      <w:r>
        <w:rPr>
          <w:rFonts w:ascii="Times New Roman" w:hAnsi="Times New Roman"/>
          <w:sz w:val="28"/>
          <w:szCs w:val="28"/>
        </w:rPr>
        <w:t xml:space="preserve">-проектов) или с площадью производственных помещений не менее 50 тыс. кв. метров (для </w:t>
      </w:r>
      <w:r>
        <w:rPr>
          <w:rFonts w:ascii="Times New Roman" w:hAnsi="Times New Roman"/>
          <w:sz w:val="28"/>
          <w:szCs w:val="28"/>
          <w:lang w:val="en-US"/>
        </w:rPr>
        <w:t>brownfield</w:t>
      </w:r>
      <w:r>
        <w:rPr>
          <w:rFonts w:ascii="Times New Roman" w:hAnsi="Times New Roman"/>
          <w:sz w:val="28"/>
          <w:szCs w:val="28"/>
        </w:rPr>
        <w:t xml:space="preserve">-проектов).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Создаваемые площадки мы исключили из рассмотрения из-за невозможности достоверно оценить предлагаемые ими услуги.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Каждой промышленной площадке присваиваются интегральный рейтинг, который формируется путем сложения баллов, полученных в ходе оценки отдельных показателей.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Интегральная рейтинговая шкала: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АА — парки, максимально привлекательные для инвесторов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— эффективные и привлекательные парки, имеющие ряд ограничений (например, высокую стоимость ресурсов, отсутствие льгот)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BB</w:t>
      </w:r>
      <w:r>
        <w:rPr>
          <w:rFonts w:ascii="Times New Roman" w:hAnsi="Times New Roman"/>
          <w:sz w:val="28"/>
          <w:szCs w:val="28"/>
        </w:rPr>
        <w:t xml:space="preserve"> — парки, достаточно привлекательные, но требующие улучшений в области услуг и инфраструктуры, а также дислоцированные в регионах, характеризующихся средней развитостью.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— площадки с привлекательностью ниже средней. Как правило, это парки, находящиеся на стадии развития и/или характеризующиеся  отсутствием существенные элементов инфраструктуры. Зачастую эти площадки можно назвать «подающими надежды», но без серьезных улучшений, они не смогут конкурировать за инвестиции. 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— парки с низкой привлекательностью и эффективностью. Улучшение среды в таких парках требует больших инвестиций. </w:t>
      </w: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17DE" w:rsidRDefault="001D17DE" w:rsidP="00013D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отдельных показателей осуществляется согласно следующей таблице.    </w:t>
      </w:r>
    </w:p>
    <w:p w:rsidR="001D17DE" w:rsidRDefault="001D17DE" w:rsidP="00013D55">
      <w:pPr>
        <w:spacing w:after="0" w:line="240" w:lineRule="auto"/>
      </w:pPr>
      <w:r>
        <w:t xml:space="preserve">  </w:t>
      </w:r>
    </w:p>
    <w:p w:rsidR="001D17DE" w:rsidRDefault="001D17DE" w:rsidP="00013D55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0"/>
        <w:gridCol w:w="5515"/>
        <w:gridCol w:w="440"/>
        <w:gridCol w:w="3176"/>
      </w:tblGrid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5955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>Показатель</w:t>
            </w:r>
          </w:p>
        </w:tc>
        <w:tc>
          <w:tcPr>
            <w:tcW w:w="3176" w:type="dxa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>Баллы</w:t>
            </w:r>
          </w:p>
        </w:tc>
      </w:tr>
      <w:tr w:rsidR="001D17DE" w:rsidRPr="007C1FEF" w:rsidTr="007C1FEF">
        <w:tc>
          <w:tcPr>
            <w:tcW w:w="9571" w:type="dxa"/>
            <w:gridSpan w:val="4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 xml:space="preserve">Услуги и менеджмент. Максимум — 7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Выкуп земельных участков, аренда участков, продажа готовых помещений, аренда помещений. 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0 — если услуги отсутствуют, 1 —если хотя бы одна присутсвует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Built</w:t>
            </w:r>
            <w:r w:rsidRPr="007C1FEF">
              <w:rPr>
                <w:rFonts w:ascii="Arial" w:hAnsi="Arial" w:cs="Arial"/>
                <w:sz w:val="20"/>
                <w:szCs w:val="20"/>
              </w:rPr>
              <w:t>-</w:t>
            </w: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to</w:t>
            </w:r>
            <w:r w:rsidRPr="007C1FEF">
              <w:rPr>
                <w:rFonts w:ascii="Arial" w:hAnsi="Arial" w:cs="Arial"/>
                <w:sz w:val="20"/>
                <w:szCs w:val="20"/>
              </w:rPr>
              <w:t>-</w:t>
            </w: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suit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0 — если услуга отсутствует, 1 — если доступна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Таможенные услуги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0 — если услуги отсутствуют, 1 — если доступны </w:t>
            </w:r>
          </w:p>
        </w:tc>
      </w:tr>
      <w:tr w:rsidR="001D17DE" w:rsidRPr="007C1FEF" w:rsidTr="007C1FEF">
        <w:trPr>
          <w:trHeight w:val="34"/>
        </w:trPr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Логистические и складские услуги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0 — если услуги отсутствуют, 1 — если доступны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C1FE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Утилизация промышленных отходов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0 — если услуги отсутствуют, 1 — если доступны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Style w:val="apple-converted-space"/>
                <w:rFonts w:ascii="Arial" w:hAnsi="Arial" w:cs="Arial"/>
                <w:shd w:val="clear" w:color="auto" w:fill="FFFFFF"/>
              </w:rPr>
            </w:pPr>
            <w:r w:rsidRPr="007C1FEF">
              <w:rPr>
                <w:rStyle w:val="apple-converted-space"/>
                <w:rFonts w:ascii="Arial" w:hAnsi="Arial" w:cs="Arial"/>
                <w:sz w:val="20"/>
                <w:szCs w:val="20"/>
                <w:shd w:val="clear" w:color="auto" w:fill="FFFFFF"/>
              </w:rPr>
              <w:t>Наличие сертификата Ассоциации индустриальных парков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0 — если сертификат отсутствует, 2 — если он получен</w:t>
            </w:r>
          </w:p>
        </w:tc>
      </w:tr>
      <w:tr w:rsidR="001D17DE" w:rsidRPr="007C1FEF" w:rsidTr="007C1FEF">
        <w:tc>
          <w:tcPr>
            <w:tcW w:w="9571" w:type="dxa"/>
            <w:gridSpan w:val="4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>Местоположение. Максимум — 10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Удаленность площадки от регионального центра или крупного промышленного центра</w:t>
            </w:r>
          </w:p>
        </w:tc>
        <w:tc>
          <w:tcPr>
            <w:tcW w:w="3616" w:type="dxa"/>
            <w:gridSpan w:val="2"/>
            <w:vMerge w:val="restart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2 получает индустриальный парк с наименьшим показателем (он не может быть меньше 1), баллы остальных участников определяются согласно формуле </w: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1FEF">
              <w:rPr>
                <w:rFonts w:ascii="Arial" w:hAnsi="Arial" w:cs="Arial"/>
                <w:sz w:val="20"/>
                <w:szCs w:val="20"/>
              </w:rPr>
              <w:instrText xml:space="preserve"> QUOTE </w:instrText>
            </w:r>
            <w:r w:rsidRPr="007C1FE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8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13D55&quot;/&gt;&lt;wsp:rsid wsp:val=&quot;00013D55&quot;/&gt;&lt;wsp:rsid wsp:val=&quot;004B5025&quot;/&gt;&lt;wsp:rsid wsp:val=&quot;007C1FEF&quot;/&gt;&lt;wsp:rsid wsp:val=&quot;007F5708&quot;/&gt;&lt;wsp:rsid wsp:val=&quot;00CA7235&quot;/&gt;&lt;wsp:rsid wsp:val=&quot;00F466E5&quot;/&gt;&lt;wsp:rsid wsp:val=&quot;00F9510C&quot;/&gt;&lt;/wsp:rsids&gt;&lt;/w:docPr&gt;&lt;w:body&gt;&lt;w:p wsp:rsidR=&quot;00000000&quot; wsp:rsidRDefault=&quot;00CA7235&quot;&gt;&lt;m:oMathPara&gt;&lt;m:oMath&gt;&lt;m:f&gt;&lt;m:fPr&gt;&lt;m:ctrlPr&gt;&lt;w:rPr&gt;&lt;w:rFonts w:ascii=&quot;Cambria Math&quot; w:fareast=&quot;Calibri&quot; w:h-ansi=&quot;Cambria Math&quot; w:cs=&quot;Arial&quot;/&gt;&lt;wx:font wx:val=&quot;Cambria Math&quot;/&gt;&lt;w:i/&gt;&lt;/w:rPr&gt;&lt;/m:ctrlPr&gt;&lt;/m:fPr&gt;&lt;m:num&gt;&lt;m:r&gt;&lt;w:rPr&gt;&lt;w:rFonts w:ascii=&quot;Cambria Math&quot; w:h-ansi=&quot;Cambria Math&quot; w:cs=&quot;Arial&quot;/&gt;&lt;wx:font wx:val=&quot;Cambria Math&quot;/&gt;&lt;w:i/&gt;&lt;w:sz w:val=&quot;20&quot;/&gt;&lt;w:sz-cs w:val=&quot;20&quot;/&gt;&lt;w:lang w:val=&quot;EN-US&quot;/&gt;&lt;/w:rPr&gt;&lt;m:t&gt;Hmin&lt;/m:t&gt;&lt;/m:r&gt;&lt;m:ctrlPr&gt;&lt;w:rPr&gt;&lt;w:rFonts w:ascii=&quot;Cambria Math&quot; w:h-ansi=&quot;Cambria Math&quot; w:cs=&quot;Arial&quot;/&gt;&lt;wx:font wx:val=&quot;Cambria Math&quot;/&gt;&lt;w:i/&gt;&lt;/w:rPr&gt;&lt;/m:ctrlPr&gt;&lt;/m:num&gt;&lt;m:den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Hi&lt;/m:t&gt;&lt;/m:r&gt;&lt;m:ctrlPr&gt;&lt;w:rPr&gt;&lt;w:rFonts w:ascii=&quot;Cambria Math&quot; w:h-ansi=&quot;Cambria Math&quot; w:cs=&quot;Arial&quot;/&gt;&lt;wx:font wx:val=&quot;Cambria Math&quot;/&gt;&lt;w:i/&gt;&lt;/w:rPr&gt;&lt;/m:ctrlPr&gt;&lt;/m:den&gt;&lt;/m:f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5" o:title="" chromakey="white"/>
                </v:shape>
              </w:pict>
            </w:r>
            <w:r w:rsidRPr="007C1FE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1FEF">
              <w:pict>
                <v:shape id="_x0000_i1026" type="#_x0000_t75" style="width:3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8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13D55&quot;/&gt;&lt;wsp:rsid wsp:val=&quot;00013D55&quot;/&gt;&lt;wsp:rsid wsp:val=&quot;004B5025&quot;/&gt;&lt;wsp:rsid wsp:val=&quot;007C1FEF&quot;/&gt;&lt;wsp:rsid wsp:val=&quot;007F5708&quot;/&gt;&lt;wsp:rsid wsp:val=&quot;00CA7235&quot;/&gt;&lt;wsp:rsid wsp:val=&quot;00F466E5&quot;/&gt;&lt;wsp:rsid wsp:val=&quot;00F9510C&quot;/&gt;&lt;/wsp:rsids&gt;&lt;/w:docPr&gt;&lt;w:body&gt;&lt;w:p wsp:rsidR=&quot;00000000&quot; wsp:rsidRDefault=&quot;00CA7235&quot;&gt;&lt;m:oMathPara&gt;&lt;m:oMath&gt;&lt;m:f&gt;&lt;m:fPr&gt;&lt;m:ctrlPr&gt;&lt;w:rPr&gt;&lt;w:rFonts w:ascii=&quot;Cambria Math&quot; w:fareast=&quot;Calibri&quot; w:h-ansi=&quot;Cambria Math&quot; w:cs=&quot;Arial&quot;/&gt;&lt;wx:font wx:val=&quot;Cambria Math&quot;/&gt;&lt;w:i/&gt;&lt;/w:rPr&gt;&lt;/m:ctrlPr&gt;&lt;/m:fPr&gt;&lt;m:num&gt;&lt;m:r&gt;&lt;w:rPr&gt;&lt;w:rFonts w:ascii=&quot;Cambria Math&quot; w:h-ansi=&quot;Cambria Math&quot; w:cs=&quot;Arial&quot;/&gt;&lt;wx:font wx:val=&quot;Cambria Math&quot;/&gt;&lt;w:i/&gt;&lt;w:sz w:val=&quot;20&quot;/&gt;&lt;w:sz-cs w:val=&quot;20&quot;/&gt;&lt;w:lang w:val=&quot;EN-US&quot;/&gt;&lt;/w:rPr&gt;&lt;m:t&gt;Hmin&lt;/m:t&gt;&lt;/m:r&gt;&lt;m:ctrlPr&gt;&lt;w:rPr&gt;&lt;w:rFonts w:ascii=&quot;Cambria Math&quot; w:h-ansi=&quot;Cambria Math&quot; w:cs=&quot;Arial&quot;/&gt;&lt;wx:font wx:val=&quot;Cambria Math&quot;/&gt;&lt;w:i/&gt;&lt;/w:rPr&gt;&lt;/m:ctrlPr&gt;&lt;/m:num&gt;&lt;m:den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Hi&lt;/m:t&gt;&lt;/m:r&gt;&lt;m:ctrlPr&gt;&lt;w:rPr&gt;&lt;w:rFonts w:ascii=&quot;Cambria Math&quot; w:h-ansi=&quot;Cambria Math&quot; w:cs=&quot;Arial&quot;/&gt;&lt;wx:font wx:val=&quot;Cambria Math&quot;/&gt;&lt;w:i/&gt;&lt;/w:rPr&gt;&lt;/m:ctrlPr&gt;&lt;/m:den&gt;&lt;/m:f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5" o:title="" chromakey="white"/>
                </v:shape>
              </w:pic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2, где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Hi</w:t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 — показатель исследуемого индустриального парка,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Hmin</w:t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 — м</w:t>
            </w:r>
            <w:bookmarkStart w:id="0" w:name="_GoBack"/>
            <w:bookmarkEnd w:id="0"/>
            <w:r w:rsidRPr="007C1FEF">
              <w:rPr>
                <w:rFonts w:ascii="Arial" w:hAnsi="Arial" w:cs="Arial"/>
                <w:sz w:val="20"/>
                <w:szCs w:val="20"/>
              </w:rPr>
              <w:t xml:space="preserve">инимальный показатель среди всех исследуемых парков 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Удаленность площадки от ближайшего порта 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Удаленность площадки от международного аэропорта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Удаленность от региональной или федеральной трассы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Удаленность от железнодорожной ветки с действующей станцией погрузки-разгрузки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9571" w:type="dxa"/>
            <w:gridSpan w:val="4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>Стоимость ресурсов. Максимум — 12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 Стоимость потребления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электроэнергии (кВт*ч),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водных ресурсов (кубометр)</w:t>
            </w:r>
          </w:p>
        </w:tc>
        <w:tc>
          <w:tcPr>
            <w:tcW w:w="3616" w:type="dxa"/>
            <w:gridSpan w:val="2"/>
            <w:vMerge w:val="restart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3 получает индустриальный парк с наименьшим показателем, баллы остальных участников определяются согласно формуле </w: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1FEF">
              <w:rPr>
                <w:rFonts w:ascii="Arial" w:hAnsi="Arial" w:cs="Arial"/>
                <w:sz w:val="20"/>
                <w:szCs w:val="20"/>
              </w:rPr>
              <w:instrText xml:space="preserve"> QUOTE </w:instrText>
            </w:r>
            <w:r w:rsidRPr="007C1FEF">
              <w:pict>
                <v:shape id="_x0000_i1027" type="#_x0000_t75" style="width:40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8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13D55&quot;/&gt;&lt;wsp:rsid wsp:val=&quot;00013D55&quot;/&gt;&lt;wsp:rsid wsp:val=&quot;004B5025&quot;/&gt;&lt;wsp:rsid wsp:val=&quot;007C1FEF&quot;/&gt;&lt;wsp:rsid wsp:val=&quot;007F5708&quot;/&gt;&lt;wsp:rsid wsp:val=&quot;00A75F7D&quot;/&gt;&lt;wsp:rsid wsp:val=&quot;00F466E5&quot;/&gt;&lt;wsp:rsid wsp:val=&quot;00F9510C&quot;/&gt;&lt;/wsp:rsids&gt;&lt;/w:docPr&gt;&lt;w:body&gt;&lt;w:p wsp:rsidR=&quot;00000000&quot; wsp:rsidRDefault=&quot;00A75F7D&quot;&gt;&lt;m:oMathPara&gt;&lt;m:oMath&gt;&lt;m:f&gt;&lt;m:fPr&gt;&lt;m:ctrlPr&gt;&lt;w:rPr&gt;&lt;w:rFonts w:ascii=&quot;Cambria Math&quot; w:fareast=&quot;Calibri&quot; w:h-ansi=&quot;Cambria Math&quot; w:cs=&quot;Arial&quot;/&gt;&lt;wx:font wx:val=&quot;Cambria Math&quot;/&gt;&lt;w:i/&gt;&lt;/w:rPr&gt;&lt;/m:ctrlPr&gt;&lt;/m:fPr&gt;&lt;m:num&gt;&lt;m:r&gt;&lt;w:rPr&gt;&lt;w:rFonts w:ascii=&quot;Cambria Math&quot; w:h-ansi=&quot;Cambria Math&quot; w:cs=&quot;Arial&quot;/&gt;&lt;wx:font wx:val=&quot;Cambria Math&quot;/&gt;&lt;w:i/&gt;&lt;w:sz w:val=&quot;20&quot;/&gt;&lt;w:sz-cs w:val=&quot;20&quot;/&gt;&lt;w:lang w:val=&quot;EN-US&quot;/&gt;&lt;/w:rPr&gt;&lt;m:t&gt;Hmin&lt;/m:t&gt;&lt;/m:r&gt;&lt;m:ctrlPr&gt;&lt;w:rPr&gt;&lt;w:rFonts w:ascii=&quot;Cambria Math&quot; w:h-ansi=&quot;Cambria Math&quot; w:cs=&quot;Arial&quot;/&gt;&lt;wx:font wx:val=&quot;Cambria Math&quot;/&gt;&lt;w:i/&gt;&lt;/w:rPr&gt;&lt;/m:ctrlPr&gt;&lt;/m:num&gt;&lt;m:den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Hi&lt;/m:t&gt;&lt;/m:r&gt;&lt;m:ctrlPr&gt;&lt;w:rPr&gt;&lt;w:rFonts w:ascii=&quot;Cambria Math&quot; w:h-ansi=&quot;Cambria Math&quot; w:cs=&quot;Arial&quot;/&gt;&lt;wx:font wx:val=&quot;Cambria Math&quot;/&gt;&lt;w:i/&gt;&lt;/w:rPr&gt;&lt;/m:ctrlPr&gt;&lt;/m:den&gt;&lt;/m:f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x3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7C1FE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1FEF">
              <w:pict>
                <v:shape id="_x0000_i1028" type="#_x0000_t75" style="width:40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8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13D55&quot;/&gt;&lt;wsp:rsid wsp:val=&quot;00013D55&quot;/&gt;&lt;wsp:rsid wsp:val=&quot;004B5025&quot;/&gt;&lt;wsp:rsid wsp:val=&quot;007C1FEF&quot;/&gt;&lt;wsp:rsid wsp:val=&quot;007F5708&quot;/&gt;&lt;wsp:rsid wsp:val=&quot;00A75F7D&quot;/&gt;&lt;wsp:rsid wsp:val=&quot;00F466E5&quot;/&gt;&lt;wsp:rsid wsp:val=&quot;00F9510C&quot;/&gt;&lt;/wsp:rsids&gt;&lt;/w:docPr&gt;&lt;w:body&gt;&lt;w:p wsp:rsidR=&quot;00000000&quot; wsp:rsidRDefault=&quot;00A75F7D&quot;&gt;&lt;m:oMathPara&gt;&lt;m:oMath&gt;&lt;m:f&gt;&lt;m:fPr&gt;&lt;m:ctrlPr&gt;&lt;w:rPr&gt;&lt;w:rFonts w:ascii=&quot;Cambria Math&quot; w:fareast=&quot;Calibri&quot; w:h-ansi=&quot;Cambria Math&quot; w:cs=&quot;Arial&quot;/&gt;&lt;wx:font wx:val=&quot;Cambria Math&quot;/&gt;&lt;w:i/&gt;&lt;/w:rPr&gt;&lt;/m:ctrlPr&gt;&lt;/m:fPr&gt;&lt;m:num&gt;&lt;m:r&gt;&lt;w:rPr&gt;&lt;w:rFonts w:ascii=&quot;Cambria Math&quot; w:h-ansi=&quot;Cambria Math&quot; w:cs=&quot;Arial&quot;/&gt;&lt;wx:font wx:val=&quot;Cambria Math&quot;/&gt;&lt;w:i/&gt;&lt;w:sz w:val=&quot;20&quot;/&gt;&lt;w:sz-cs w:val=&quot;20&quot;/&gt;&lt;w:lang w:val=&quot;EN-US&quot;/&gt;&lt;/w:rPr&gt;&lt;m:t&gt;Hmin&lt;/m:t&gt;&lt;/m:r&gt;&lt;m:ctrlPr&gt;&lt;w:rPr&gt;&lt;w:rFonts w:ascii=&quot;Cambria Math&quot; w:h-ansi=&quot;Cambria Math&quot; w:cs=&quot;Arial&quot;/&gt;&lt;wx:font wx:val=&quot;Cambria Math&quot;/&gt;&lt;w:i/&gt;&lt;/w:rPr&gt;&lt;/m:ctrlPr&gt;&lt;/m:num&gt;&lt;m:den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Hi&lt;/m:t&gt;&lt;/m:r&gt;&lt;m:ctrlPr&gt;&lt;w:rPr&gt;&lt;w:rFonts w:ascii=&quot;Cambria Math&quot; w:h-ansi=&quot;Cambria Math&quot; w:cs=&quot;Arial&quot;/&gt;&lt;wx:font wx:val=&quot;Cambria Math&quot;/&gt;&lt;w:i/&gt;&lt;/w:rPr&gt;&lt;/m:ctrlPr&gt;&lt;/m:den&gt;&lt;/m:f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x3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, где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Hi</w:t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 — показатель исследуемого индустриального парка,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Hmin</w:t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 — минимальный показатель среди всех исследуемых парков 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Стоимость продажи земли (для </w:t>
            </w: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greenfield</w:t>
            </w:r>
            <w:r w:rsidRPr="007C1FEF">
              <w:rPr>
                <w:rFonts w:ascii="Arial" w:hAnsi="Arial" w:cs="Arial"/>
                <w:sz w:val="20"/>
                <w:szCs w:val="20"/>
              </w:rPr>
              <w:t>-проектов), тыс. рублей за га с электрической мощностью 0.2 МВт,</w:t>
            </w:r>
            <w:r w:rsidRPr="007C1FEF">
              <w:rPr>
                <w:rFonts w:ascii="Arial" w:hAnsi="Arial" w:cs="Arial"/>
                <w:color w:val="4BACC6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Стоимость аренды помещений (для </w:t>
            </w: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brownfield</w:t>
            </w:r>
            <w:r w:rsidRPr="007C1FEF">
              <w:rPr>
                <w:rFonts w:ascii="Arial" w:hAnsi="Arial" w:cs="Arial"/>
                <w:sz w:val="20"/>
                <w:szCs w:val="20"/>
              </w:rPr>
              <w:t>-проектов), тыс. рублей за кв. метр (для предприятия с требуемой электрической мощностью 0,2 МВт)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Средняя зарплата в регионе присутствия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9571" w:type="dxa"/>
            <w:gridSpan w:val="4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>Налоговые и таможенные льготы. Максимум — 5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Льгота по налогу на прибыль</w:t>
            </w:r>
          </w:p>
        </w:tc>
        <w:tc>
          <w:tcPr>
            <w:tcW w:w="3616" w:type="dxa"/>
            <w:gridSpan w:val="2"/>
            <w:vMerge w:val="restart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0 — если льгота отсутствует, 1 — если доступна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Льгота по налогу на имущество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Льгота по налогу на землю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Льгота по налогу на транспорт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Льготный режим при импорте сырья и оборудования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9571" w:type="dxa"/>
            <w:gridSpan w:val="4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 xml:space="preserve">Работа с резидентами. Максимум — 10,1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Наличие иностранных резидентов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0 — если резиденты отсутствуют, 3 — если присутствуют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Наличие российских резидентов, входящих в топ-100 из списка 400 крупнейших компаний России журнала «Эксперт»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0 — если резиденты отсутствуют, 2 — если присутствуют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Наличие интернет-сайта, содержащего следующую информацию: 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данные </w:t>
            </w: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о местоположении индустриального парка;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описание инфраструктурных мощностей;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перечень действующих резидентах индустриального парка;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данные о свободных земельных участках индустриального парка для размещения производства, параметры зданий, строений, сооружений;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данные об управляющей компании и оказываемых ею услугах;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описание коммерческих условий размещения на территории индустриального парка (стоимость аренды, выкупа земли/помещений, стоимость услуги </w:t>
            </w:r>
            <w:r w:rsidRPr="007C1FEF">
              <w:rPr>
                <w:rFonts w:ascii="Arial" w:hAnsi="Arial" w:cs="Arial"/>
                <w:sz w:val="20"/>
                <w:szCs w:val="20"/>
                <w:lang w:val="en-US" w:eastAsia="ru-RU"/>
              </w:rPr>
              <w:t>built</w:t>
            </w: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 w:rsidRPr="007C1FEF">
              <w:rPr>
                <w:rFonts w:ascii="Arial" w:hAnsi="Arial" w:cs="Arial"/>
                <w:sz w:val="20"/>
                <w:szCs w:val="20"/>
                <w:lang w:val="en-US" w:eastAsia="ru-RU"/>
              </w:rPr>
              <w:t>to</w:t>
            </w: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 w:rsidRPr="007C1FEF">
              <w:rPr>
                <w:rFonts w:ascii="Arial" w:hAnsi="Arial" w:cs="Arial"/>
                <w:sz w:val="20"/>
                <w:szCs w:val="20"/>
                <w:lang w:val="en-US" w:eastAsia="ru-RU"/>
              </w:rPr>
              <w:t>suite</w:t>
            </w: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 энергоресурсов);</w:t>
            </w:r>
          </w:p>
          <w:p w:rsidR="001D17DE" w:rsidRPr="007C1FEF" w:rsidRDefault="001D17DE" w:rsidP="007C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версии сайта на других языках.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0 — если сайт отсутствует, 0,3 — за наличие каждого параметра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Скорость ответа на внешний запрос</w:t>
            </w:r>
          </w:p>
        </w:tc>
        <w:tc>
          <w:tcPr>
            <w:tcW w:w="3616" w:type="dxa"/>
            <w:gridSpan w:val="2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1 — 3 рабочих дня — 3,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4 — 5 рабочих дней — 2,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6 — 7 рабочих дней — 1,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более 7 рабочих дней – 0</w:t>
            </w:r>
          </w:p>
        </w:tc>
      </w:tr>
      <w:tr w:rsidR="001D17DE" w:rsidRPr="007C1FEF" w:rsidTr="007C1FEF">
        <w:tc>
          <w:tcPr>
            <w:tcW w:w="9571" w:type="dxa"/>
            <w:gridSpan w:val="4"/>
          </w:tcPr>
          <w:p w:rsidR="001D17DE" w:rsidRPr="007C1FEF" w:rsidRDefault="001D17DE" w:rsidP="007C1F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FEF">
              <w:rPr>
                <w:rFonts w:ascii="Arial" w:hAnsi="Arial" w:cs="Arial"/>
                <w:b/>
                <w:sz w:val="20"/>
                <w:szCs w:val="20"/>
              </w:rPr>
              <w:t xml:space="preserve">Показатели региона локации. Максимум — 10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ВРП</w:t>
            </w:r>
          </w:p>
        </w:tc>
        <w:tc>
          <w:tcPr>
            <w:tcW w:w="3616" w:type="dxa"/>
            <w:gridSpan w:val="2"/>
            <w:vMerge w:val="restart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2 получает индустриальный парк с наивысшим показателем, баллы остальных участников определяются согласно формуле </w: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1FEF">
              <w:rPr>
                <w:rFonts w:ascii="Arial" w:hAnsi="Arial" w:cs="Arial"/>
                <w:sz w:val="20"/>
                <w:szCs w:val="20"/>
              </w:rPr>
              <w:instrText xml:space="preserve"> QUOTE </w:instrText>
            </w:r>
            <w:r w:rsidRPr="007C1FEF">
              <w:pict>
                <v:shape id="_x0000_i1029" type="#_x0000_t75" style="width:42.7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8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13D55&quot;/&gt;&lt;wsp:rsid wsp:val=&quot;00013D55&quot;/&gt;&lt;wsp:rsid wsp:val=&quot;000173F8&quot;/&gt;&lt;wsp:rsid wsp:val=&quot;004B5025&quot;/&gt;&lt;wsp:rsid wsp:val=&quot;007C1FEF&quot;/&gt;&lt;wsp:rsid wsp:val=&quot;007F5708&quot;/&gt;&lt;wsp:rsid wsp:val=&quot;00F466E5&quot;/&gt;&lt;wsp:rsid wsp:val=&quot;00F9510C&quot;/&gt;&lt;/wsp:rsids&gt;&lt;/w:docPr&gt;&lt;w:body&gt;&lt;w:p wsp:rsidR=&quot;00000000&quot; wsp:rsidRDefault=&quot;000173F8&quot;&gt;&lt;m:oMathPara&gt;&lt;m:oMath&gt;&lt;m:f&gt;&lt;m:fPr&gt;&lt;m:ctrlPr&gt;&lt;w:rPr&gt;&lt;w:rFonts w:ascii=&quot;Cambria Math&quot; w:fareast=&quot;Calibri&quot; w:h-ansi=&quot;Cambria Math&quot; w:cs=&quot;Arial&quot;/&gt;&lt;wx:font wx:val=&quot;Cambria Math&quot;/&gt;&lt;w:i/&gt;&lt;w:sz w:val=&quot;20&quot;/&gt;&lt;w:sz-cs w:val=&quot;20&quot;/&gt;&lt;/w:rPr&gt;&lt;/m:ctrlPr&gt;&lt;/m:fPr&gt;&lt;m:num&gt;&lt;m:r&gt;&lt;w:rPr&gt;&lt;w:rFonts w:ascii=&quot;Cambria Math&quot; w:h-ansi=&quot;Cambria Math&quot; w:cs=&quot;Arial&quot;/&gt;&lt;wx:font wx:val=&quot;Cambria Math&quot;/&gt;&lt;w:i/&gt;&lt;w:sz w:val=&quot;20&quot;/&gt;&lt;w:sz-cs w:val=&quot;20&quot;/&gt;&lt;w:lang w:val=&quot;EN-US&quot;/&gt;&lt;/w:rPr&gt;&lt;m:t&gt;Hi&lt;/m:t&gt;&lt;/m:r&gt;&lt;m:ctrlPr&gt;&lt;w:rPr&gt;&lt;w:rFonts w:ascii=&quot;Cambria Math&quot; w:h-ansi=&quot;Cambria Math&quot; w:cs=&quot;Arial&quot;/&gt;&lt;wx:font wx:val=&quot;Cambria Math&quot;/&gt;&lt;w:i/&gt;&lt;w:sz w:val=&quot;20&quot;/&gt;&lt;w:sz-cs w:val=&quot;20&quot;/&gt;&lt;/w:rPr&gt;&lt;/m:ctrlPr&gt;&lt;/m:num&gt;&lt;m:den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Hmax&lt;/m:t&gt;&lt;/m:r&gt;&lt;m:ctrlPr&gt;&lt;w:rPr&gt;&lt;w:rFonts w:ascii=&quot;Cambria Math&quot; w:h-ansi=&quot;Cambria Math&quot; w:cs=&quot;Arial&quot;/&gt;&lt;wx:font wx:val=&quot;Cambria Math&quot;/&gt;&lt;w:i/&gt;&lt;w:sz w:val=&quot;20&quot;/&gt;&lt;w:sz-cs w:val=&quot;20&quot;/&gt;&lt;/w:rPr&gt;&lt;/m:ctrlPr&gt;&lt;/m:den&gt;&lt;/m:f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x2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7C1FEF">
              <w:rPr>
                <w:rFonts w:ascii="Arial" w:hAnsi="Arial" w:cs="Arial"/>
                <w:sz w:val="20"/>
                <w:szCs w:val="20"/>
              </w:rPr>
              <w:instrText xml:space="preserve"> </w:instrTex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1FEF">
              <w:pict>
                <v:shape id="_x0000_i1030" type="#_x0000_t75" style="width:42.7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8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13D55&quot;/&gt;&lt;wsp:rsid wsp:val=&quot;00013D55&quot;/&gt;&lt;wsp:rsid wsp:val=&quot;000173F8&quot;/&gt;&lt;wsp:rsid wsp:val=&quot;004B5025&quot;/&gt;&lt;wsp:rsid wsp:val=&quot;007C1FEF&quot;/&gt;&lt;wsp:rsid wsp:val=&quot;007F5708&quot;/&gt;&lt;wsp:rsid wsp:val=&quot;00F466E5&quot;/&gt;&lt;wsp:rsid wsp:val=&quot;00F9510C&quot;/&gt;&lt;/wsp:rsids&gt;&lt;/w:docPr&gt;&lt;w:body&gt;&lt;w:p wsp:rsidR=&quot;00000000&quot; wsp:rsidRDefault=&quot;000173F8&quot;&gt;&lt;m:oMathPara&gt;&lt;m:oMath&gt;&lt;m:f&gt;&lt;m:fPr&gt;&lt;m:ctrlPr&gt;&lt;w:rPr&gt;&lt;w:rFonts w:ascii=&quot;Cambria Math&quot; w:fareast=&quot;Calibri&quot; w:h-ansi=&quot;Cambria Math&quot; w:cs=&quot;Arial&quot;/&gt;&lt;wx:font wx:val=&quot;Cambria Math&quot;/&gt;&lt;w:i/&gt;&lt;w:sz w:val=&quot;20&quot;/&gt;&lt;w:sz-cs w:val=&quot;20&quot;/&gt;&lt;/w:rPr&gt;&lt;/m:ctrlPr&gt;&lt;/m:fPr&gt;&lt;m:num&gt;&lt;m:r&gt;&lt;w:rPr&gt;&lt;w:rFonts w:ascii=&quot;Cambria Math&quot; w:h-ansi=&quot;Cambria Math&quot; w:cs=&quot;Arial&quot;/&gt;&lt;wx:font wx:val=&quot;Cambria Math&quot;/&gt;&lt;w:i/&gt;&lt;w:sz w:val=&quot;20&quot;/&gt;&lt;w:sz-cs w:val=&quot;20&quot;/&gt;&lt;w:lang w:val=&quot;EN-US&quot;/&gt;&lt;/w:rPr&gt;&lt;m:t&gt;Hi&lt;/m:t&gt;&lt;/m:r&gt;&lt;m:ctrlPr&gt;&lt;w:rPr&gt;&lt;w:rFonts w:ascii=&quot;Cambria Math&quot; w:h-ansi=&quot;Cambria Math&quot; w:cs=&quot;Arial&quot;/&gt;&lt;wx:font wx:val=&quot;Cambria Math&quot;/&gt;&lt;w:i/&gt;&lt;w:sz w:val=&quot;20&quot;/&gt;&lt;w:sz-cs w:val=&quot;20&quot;/&gt;&lt;/w:rPr&gt;&lt;/m:ctrlPr&gt;&lt;/m:num&gt;&lt;m:den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Hmax&lt;/m:t&gt;&lt;/m:r&gt;&lt;m:ctrlPr&gt;&lt;w:rPr&gt;&lt;w:rFonts w:ascii=&quot;Cambria Math&quot; w:h-ansi=&quot;Cambria Math&quot; w:cs=&quot;Arial&quot;/&gt;&lt;wx:font wx:val=&quot;Cambria Math&quot;/&gt;&lt;w:i/&gt;&lt;w:sz w:val=&quot;20&quot;/&gt;&lt;w:sz-cs w:val=&quot;20&quot;/&gt;&lt;/w:rPr&gt;&lt;/m:ctrlPr&gt;&lt;/m:den&gt;&lt;/m:f&gt;&lt;m:r&gt;&lt;w:rPr&gt;&lt;w:rFonts w:ascii=&quot;Cambria Math&quot; w:h-ansi=&quot;Cambria Math&quot; w:cs=&quot;Arial&quot;/&gt;&lt;wx:font wx:val=&quot;Cambria Math&quot;/&gt;&lt;w:i/&gt;&lt;w:sz w:val=&quot;20&quot;/&gt;&lt;w:sz-cs w:val=&quot;20&quot;/&gt;&lt;/w:rPr&gt;&lt;m:t&gt;x2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7C1FE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, где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Hi</w:t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 — показатель исследуемого индустриального парка, </w:t>
            </w:r>
          </w:p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val="en-US"/>
              </w:rPr>
              <w:t>Hmax</w:t>
            </w:r>
            <w:r w:rsidRPr="007C1FEF">
              <w:rPr>
                <w:rFonts w:ascii="Arial" w:hAnsi="Arial" w:cs="Arial"/>
                <w:sz w:val="20"/>
                <w:szCs w:val="20"/>
              </w:rPr>
              <w:t xml:space="preserve"> — максимальный показатель среди всех исследуемых парков (за из расчетов исключены парки, расположенные в  Москве).   </w:t>
            </w: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Численность экономически активного населения</w:t>
            </w:r>
          </w:p>
        </w:tc>
        <w:tc>
          <w:tcPr>
            <w:tcW w:w="3616" w:type="dxa"/>
            <w:gridSpan w:val="2"/>
            <w:vMerge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 xml:space="preserve">Количество студентов, обучающихся инженерным специальностям в федеральных, НИ и опорных университетах, работающих в регионе присутствия промышленной площадки </w:t>
            </w:r>
          </w:p>
        </w:tc>
        <w:tc>
          <w:tcPr>
            <w:tcW w:w="3616" w:type="dxa"/>
            <w:gridSpan w:val="2"/>
            <w:vMerge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Объем инвестиций в основной капитал</w:t>
            </w:r>
          </w:p>
        </w:tc>
        <w:tc>
          <w:tcPr>
            <w:tcW w:w="3616" w:type="dxa"/>
            <w:gridSpan w:val="2"/>
            <w:vMerge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7DE" w:rsidRPr="007C1FEF" w:rsidTr="007C1FEF">
        <w:tc>
          <w:tcPr>
            <w:tcW w:w="440" w:type="dxa"/>
          </w:tcPr>
          <w:p w:rsidR="001D17DE" w:rsidRPr="007C1FEF" w:rsidRDefault="001D17DE" w:rsidP="007C1FEF">
            <w:pPr>
              <w:shd w:val="clear" w:color="auto" w:fill="FFFFFF"/>
              <w:spacing w:after="0" w:line="116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C1FEF">
              <w:rPr>
                <w:rFonts w:ascii="Arial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515" w:type="dxa"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C1FEF">
              <w:rPr>
                <w:rFonts w:ascii="Arial" w:hAnsi="Arial" w:cs="Arial"/>
                <w:sz w:val="20"/>
                <w:szCs w:val="20"/>
              </w:rPr>
              <w:t>Объем экспорта</w:t>
            </w:r>
          </w:p>
        </w:tc>
        <w:tc>
          <w:tcPr>
            <w:tcW w:w="3616" w:type="dxa"/>
            <w:gridSpan w:val="2"/>
            <w:vMerge/>
          </w:tcPr>
          <w:p w:rsidR="001D17DE" w:rsidRPr="007C1FEF" w:rsidRDefault="001D17DE" w:rsidP="007C1F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D17DE" w:rsidRDefault="001D17DE" w:rsidP="00013D55"/>
    <w:p w:rsidR="001D17DE" w:rsidRDefault="001D17DE"/>
    <w:sectPr w:rsidR="001D17DE" w:rsidSect="00D300C2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5237D"/>
    <w:multiLevelType w:val="hybridMultilevel"/>
    <w:tmpl w:val="2DC09FEC"/>
    <w:lvl w:ilvl="0" w:tplc="D23E2C84">
      <w:start w:val="1"/>
      <w:numFmt w:val="decimal"/>
      <w:lvlText w:val="%1)"/>
      <w:lvlJc w:val="left"/>
      <w:pPr>
        <w:ind w:left="819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D55"/>
    <w:rsid w:val="00013D55"/>
    <w:rsid w:val="0007496E"/>
    <w:rsid w:val="0007777D"/>
    <w:rsid w:val="001D17DE"/>
    <w:rsid w:val="004B5025"/>
    <w:rsid w:val="007C1FEF"/>
    <w:rsid w:val="007F5708"/>
    <w:rsid w:val="00952F8B"/>
    <w:rsid w:val="00C642AA"/>
    <w:rsid w:val="00D300C2"/>
    <w:rsid w:val="00F466E5"/>
    <w:rsid w:val="00F95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D5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C642A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5D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013D5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013D55"/>
    <w:rPr>
      <w:rFonts w:cs="Times New Roman"/>
    </w:rPr>
  </w:style>
  <w:style w:type="table" w:styleId="TableGrid">
    <w:name w:val="Table Grid"/>
    <w:basedOn w:val="TableNormal"/>
    <w:uiPriority w:val="99"/>
    <w:rsid w:val="00013D5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1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3D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56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691</Words>
  <Characters>4797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Методика оценки индустриальных парков и ОЭЗ промышленного типа</dc:title>
  <dc:subject/>
  <dc:creator>ermak</dc:creator>
  <cp:keywords/>
  <dc:description/>
  <cp:lastModifiedBy>Acer</cp:lastModifiedBy>
  <cp:revision>3</cp:revision>
  <dcterms:created xsi:type="dcterms:W3CDTF">2017-07-03T10:46:00Z</dcterms:created>
  <dcterms:modified xsi:type="dcterms:W3CDTF">2017-07-03T10:47:00Z</dcterms:modified>
</cp:coreProperties>
</file>